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D049" w14:textId="77777777" w:rsidR="00622DA5" w:rsidRPr="00622DA5" w:rsidRDefault="00622DA5" w:rsidP="00E55750">
      <w:pPr>
        <w:spacing w:after="0" w:line="240" w:lineRule="auto"/>
      </w:pPr>
      <w:r w:rsidRPr="00622DA5">
        <w:rPr>
          <w:noProof/>
          <w:lang w:eastAsia="sv-SE"/>
        </w:rPr>
        <w:drawing>
          <wp:inline distT="0" distB="0" distL="0" distR="0" wp14:anchorId="3B101730" wp14:editId="73566201">
            <wp:extent cx="1308100" cy="40878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0588" cy="412684"/>
                    </a:xfrm>
                    <a:prstGeom prst="rect">
                      <a:avLst/>
                    </a:prstGeom>
                    <a:noFill/>
                    <a:ln w="9525">
                      <a:noFill/>
                      <a:miter lim="800000"/>
                      <a:headEnd/>
                      <a:tailEnd/>
                    </a:ln>
                  </pic:spPr>
                </pic:pic>
              </a:graphicData>
            </a:graphic>
          </wp:inline>
        </w:drawing>
      </w:r>
      <w:r w:rsidRPr="00622DA5">
        <w:t xml:space="preserve"> </w:t>
      </w:r>
    </w:p>
    <w:p w14:paraId="13B982F9" w14:textId="0910ABC4" w:rsidR="00622DA5" w:rsidRPr="00622DA5" w:rsidRDefault="00622DA5" w:rsidP="00E55750">
      <w:pPr>
        <w:spacing w:after="0" w:line="240" w:lineRule="auto"/>
      </w:pPr>
      <w:r w:rsidRPr="00622DA5">
        <w:t xml:space="preserve">Sveriges universitets- </w:t>
      </w:r>
      <w:r w:rsidRPr="00622DA5">
        <w:tab/>
      </w:r>
      <w:r w:rsidRPr="00622DA5">
        <w:tab/>
      </w:r>
      <w:r w:rsidRPr="00622DA5">
        <w:tab/>
      </w:r>
      <w:r w:rsidRPr="00622DA5">
        <w:tab/>
      </w:r>
      <w:r w:rsidR="00545270">
        <w:rPr>
          <w:b/>
          <w:sz w:val="24"/>
          <w:szCs w:val="24"/>
        </w:rPr>
        <w:t>REK. 2020:4</w:t>
      </w:r>
    </w:p>
    <w:p w14:paraId="4EE24713" w14:textId="5F917272" w:rsidR="00622DA5" w:rsidRPr="00622DA5" w:rsidRDefault="00622DA5" w:rsidP="00E55750">
      <w:pPr>
        <w:spacing w:after="0" w:line="240" w:lineRule="auto"/>
      </w:pPr>
      <w:r w:rsidRPr="00622DA5">
        <w:t>och</w:t>
      </w:r>
      <w:r w:rsidR="00895132">
        <w:t xml:space="preserve"> högskoleförbund</w:t>
      </w:r>
      <w:r w:rsidR="00895132">
        <w:tab/>
      </w:r>
      <w:r w:rsidR="00895132">
        <w:tab/>
      </w:r>
      <w:r w:rsidR="00895132">
        <w:tab/>
      </w:r>
      <w:r w:rsidR="00895132">
        <w:tab/>
        <w:t>Dnr: 0066-20</w:t>
      </w:r>
    </w:p>
    <w:p w14:paraId="7FEA7DD5" w14:textId="3DE6CF0A" w:rsidR="00622DA5" w:rsidRPr="00377008" w:rsidRDefault="00377008" w:rsidP="00E55750">
      <w:pPr>
        <w:spacing w:after="0" w:line="240" w:lineRule="auto"/>
      </w:pPr>
      <w:r>
        <w:tab/>
      </w:r>
      <w:r>
        <w:tab/>
      </w:r>
      <w:r>
        <w:tab/>
      </w:r>
      <w:r>
        <w:tab/>
      </w:r>
      <w:r>
        <w:tab/>
        <w:t>2020-11-26</w:t>
      </w:r>
    </w:p>
    <w:p w14:paraId="1065997F" w14:textId="2D2D8C1F" w:rsidR="00622DA5" w:rsidRDefault="00622DA5" w:rsidP="00E55750">
      <w:pPr>
        <w:spacing w:after="0" w:line="240" w:lineRule="auto"/>
      </w:pPr>
    </w:p>
    <w:p w14:paraId="476541B3" w14:textId="77777777" w:rsidR="00E55750" w:rsidRPr="00622DA5" w:rsidRDefault="00E55750" w:rsidP="00E55750">
      <w:pPr>
        <w:spacing w:after="0" w:line="240" w:lineRule="auto"/>
      </w:pPr>
    </w:p>
    <w:p w14:paraId="4F0B98FD" w14:textId="4DC8DC90" w:rsidR="00622DA5" w:rsidRPr="00622DA5" w:rsidRDefault="00622DA5" w:rsidP="00E55750">
      <w:pPr>
        <w:spacing w:after="0" w:line="240" w:lineRule="auto"/>
      </w:pPr>
    </w:p>
    <w:p w14:paraId="737C923A" w14:textId="2FAB05D5" w:rsidR="00971C63" w:rsidRPr="00E55750" w:rsidRDefault="004A39C8" w:rsidP="00E55750">
      <w:pPr>
        <w:spacing w:after="0" w:line="240" w:lineRule="auto"/>
        <w:rPr>
          <w:rFonts w:ascii="Cambria" w:hAnsi="Cambria"/>
          <w:b/>
          <w:sz w:val="32"/>
          <w:szCs w:val="32"/>
        </w:rPr>
      </w:pPr>
      <w:r w:rsidRPr="00E55750">
        <w:rPr>
          <w:rFonts w:ascii="Cambria" w:hAnsi="Cambria"/>
          <w:b/>
          <w:sz w:val="32"/>
          <w:szCs w:val="32"/>
        </w:rPr>
        <w:t>Handel mellan lärosäten</w:t>
      </w:r>
    </w:p>
    <w:p w14:paraId="00BBDB1A" w14:textId="2B3B73A1" w:rsidR="00622DA5" w:rsidRDefault="00622DA5" w:rsidP="00E55750">
      <w:pPr>
        <w:spacing w:after="0" w:line="240" w:lineRule="auto"/>
      </w:pPr>
    </w:p>
    <w:p w14:paraId="4AB55A72" w14:textId="3265A90D" w:rsidR="00377008" w:rsidRDefault="00377008" w:rsidP="00E55750">
      <w:pPr>
        <w:spacing w:after="0" w:line="240" w:lineRule="auto"/>
      </w:pPr>
      <w:r>
        <w:t>SUHF:s styrelse</w:t>
      </w:r>
      <w:r w:rsidR="00622DA5">
        <w:t xml:space="preserve"> antog </w:t>
      </w:r>
      <w:r w:rsidR="003B0E2D">
        <w:t>rekommendation</w:t>
      </w:r>
      <w:r>
        <w:t>en Handel mellan lärosäten</w:t>
      </w:r>
      <w:r w:rsidR="003B0E2D">
        <w:t xml:space="preserve"> den </w:t>
      </w:r>
      <w:r>
        <w:t>26 november</w:t>
      </w:r>
      <w:r w:rsidR="00622DA5">
        <w:t xml:space="preserve"> 2020. </w:t>
      </w:r>
    </w:p>
    <w:p w14:paraId="55C7E00D" w14:textId="77777777" w:rsidR="00377008" w:rsidRDefault="00377008" w:rsidP="00E55750">
      <w:pPr>
        <w:spacing w:after="0" w:line="240" w:lineRule="auto"/>
      </w:pPr>
    </w:p>
    <w:p w14:paraId="08D915FA" w14:textId="626EF55D" w:rsidR="00E55750" w:rsidRDefault="00E55750" w:rsidP="00E55750">
      <w:pPr>
        <w:spacing w:after="0" w:line="240" w:lineRule="auto"/>
      </w:pPr>
      <w:r>
        <w:t>Rekommendationen är ett nytt avsnitt i h</w:t>
      </w:r>
      <w:r w:rsidR="00117B7A">
        <w:t xml:space="preserve">andledningen för SUHF-modellen och har tagits fram av SUHF:s redovisningsråd. </w:t>
      </w:r>
    </w:p>
    <w:p w14:paraId="61973CA6" w14:textId="6CE867B2" w:rsidR="00E55750" w:rsidRDefault="00E55750" w:rsidP="00E55750">
      <w:pPr>
        <w:spacing w:after="0" w:line="240" w:lineRule="auto"/>
      </w:pPr>
    </w:p>
    <w:p w14:paraId="75EEB4D6" w14:textId="7D005472" w:rsidR="00E55750" w:rsidRPr="00E55750" w:rsidRDefault="00E55750" w:rsidP="00E55750">
      <w:pPr>
        <w:spacing w:after="0" w:line="240" w:lineRule="auto"/>
        <w:rPr>
          <w:rFonts w:cstheme="minorHAnsi"/>
          <w:b/>
          <w:sz w:val="28"/>
          <w:szCs w:val="28"/>
        </w:rPr>
      </w:pPr>
      <w:r w:rsidRPr="00E55750">
        <w:rPr>
          <w:rFonts w:cstheme="minorHAnsi"/>
          <w:b/>
          <w:sz w:val="28"/>
          <w:szCs w:val="28"/>
        </w:rPr>
        <w:t>Rekommendation</w:t>
      </w:r>
    </w:p>
    <w:p w14:paraId="7511D447" w14:textId="77777777" w:rsidR="00E55750" w:rsidRDefault="00E55750" w:rsidP="00E55750">
      <w:pPr>
        <w:spacing w:after="0" w:line="240" w:lineRule="auto"/>
      </w:pPr>
      <w:bookmarkStart w:id="0" w:name="_GoBack"/>
      <w:bookmarkEnd w:id="0"/>
    </w:p>
    <w:p w14:paraId="4B290DDE" w14:textId="2841882C" w:rsidR="00E55750" w:rsidRPr="00622DA5" w:rsidRDefault="00E55750" w:rsidP="00E55750">
      <w:pPr>
        <w:spacing w:after="0" w:line="240" w:lineRule="auto"/>
      </w:pPr>
      <w:r w:rsidRPr="00622DA5">
        <w:t xml:space="preserve">För att underlätta samarbeten mellan lärosäten och att arbeta för en mer likartad hantering av SUHF-modellen </w:t>
      </w:r>
      <w:r>
        <w:t>har SUHF antagit följande</w:t>
      </w:r>
      <w:r w:rsidRPr="00622DA5">
        <w:t xml:space="preserve"> rekommendation:</w:t>
      </w:r>
    </w:p>
    <w:p w14:paraId="0105D252" w14:textId="77777777" w:rsidR="00E55750" w:rsidRPr="00622DA5" w:rsidRDefault="00E55750" w:rsidP="00E55750">
      <w:pPr>
        <w:spacing w:after="0" w:line="240" w:lineRule="auto"/>
      </w:pPr>
    </w:p>
    <w:p w14:paraId="57625101" w14:textId="55BF3293" w:rsidR="00E55750" w:rsidRPr="00622DA5" w:rsidRDefault="00E55750" w:rsidP="00E55750">
      <w:pPr>
        <w:pStyle w:val="Liststycke"/>
        <w:numPr>
          <w:ilvl w:val="0"/>
          <w:numId w:val="6"/>
        </w:numPr>
        <w:spacing w:after="0" w:line="240" w:lineRule="auto"/>
      </w:pPr>
      <w:r w:rsidRPr="00622DA5">
        <w:t>Lärosäten som tillämpar den alternativa fördelningsbasen där driftkostnader ingår</w:t>
      </w:r>
      <w:r>
        <w:t>,</w:t>
      </w:r>
      <w:r w:rsidRPr="00622DA5">
        <w:t xml:space="preserve"> rekommenderas att från sin fördelningsbas exkludera driftkostnader som avser köp från annat svenskt lärosäte.</w:t>
      </w:r>
    </w:p>
    <w:p w14:paraId="71CA7C90" w14:textId="508C656C" w:rsidR="00E55750" w:rsidRPr="00622DA5" w:rsidRDefault="00E55750" w:rsidP="00E55750">
      <w:pPr>
        <w:pStyle w:val="Liststycke"/>
        <w:numPr>
          <w:ilvl w:val="0"/>
          <w:numId w:val="6"/>
        </w:numPr>
        <w:spacing w:after="0" w:line="240" w:lineRule="auto"/>
      </w:pPr>
      <w:r w:rsidRPr="00622DA5">
        <w:t>Säljande lärosäte förutsätts fakturera såväl direkta som indirekta kostnader.</w:t>
      </w:r>
    </w:p>
    <w:p w14:paraId="00198685" w14:textId="77777777" w:rsidR="00E55750" w:rsidRPr="00622DA5" w:rsidRDefault="00E55750" w:rsidP="00E55750">
      <w:pPr>
        <w:spacing w:after="0" w:line="240" w:lineRule="auto"/>
      </w:pPr>
    </w:p>
    <w:p w14:paraId="2ADEFE9E" w14:textId="1F85771F" w:rsidR="00E55750" w:rsidRDefault="00E55750" w:rsidP="00E55750">
      <w:pPr>
        <w:spacing w:after="0" w:line="240" w:lineRule="auto"/>
      </w:pPr>
      <w:r w:rsidRPr="00622DA5">
        <w:t>Rekommendationen gäller från och med år 2021 med implementering senast år 2022.</w:t>
      </w:r>
    </w:p>
    <w:p w14:paraId="2BD1B740" w14:textId="77777777" w:rsidR="00E55750" w:rsidRDefault="00E55750" w:rsidP="00E55750">
      <w:pPr>
        <w:spacing w:after="0" w:line="240" w:lineRule="auto"/>
      </w:pPr>
    </w:p>
    <w:p w14:paraId="2E6A8563" w14:textId="6ED872E0" w:rsidR="00BE6935" w:rsidRPr="00622DA5" w:rsidRDefault="00BE6935" w:rsidP="00E55750">
      <w:pPr>
        <w:spacing w:after="0" w:line="240" w:lineRule="auto"/>
        <w:rPr>
          <w:rFonts w:cstheme="minorHAnsi"/>
          <w:b/>
          <w:sz w:val="28"/>
          <w:szCs w:val="28"/>
        </w:rPr>
      </w:pPr>
      <w:r w:rsidRPr="00622DA5">
        <w:rPr>
          <w:rFonts w:cstheme="minorHAnsi"/>
          <w:b/>
          <w:sz w:val="28"/>
          <w:szCs w:val="28"/>
        </w:rPr>
        <w:t>Bakgrund</w:t>
      </w:r>
    </w:p>
    <w:p w14:paraId="3A9F3C60" w14:textId="77777777" w:rsidR="00E55750" w:rsidRDefault="00E55750" w:rsidP="00E55750">
      <w:pPr>
        <w:spacing w:after="0" w:line="240" w:lineRule="auto"/>
      </w:pPr>
    </w:p>
    <w:p w14:paraId="75CD789E" w14:textId="6A7C38E3" w:rsidR="00822E9A" w:rsidRPr="00622DA5" w:rsidRDefault="00822E9A" w:rsidP="00E55750">
      <w:pPr>
        <w:spacing w:after="0" w:line="240" w:lineRule="auto"/>
      </w:pPr>
      <w:r w:rsidRPr="00622DA5">
        <w:t xml:space="preserve">Det förekommer en tämligen omfattande handel mellan </w:t>
      </w:r>
      <w:r w:rsidR="006E457B" w:rsidRPr="00622DA5">
        <w:t>lärosäten</w:t>
      </w:r>
      <w:r w:rsidRPr="00622DA5">
        <w:t xml:space="preserve"> och i huvudsak är det tjänster som säljs. Tjänsteköp är aktuella framför allt i forskningssamarbeten men kan också förekomma i både ordinarie utbildning och i uppdragsutbildning. Generellt gäller att säljande </w:t>
      </w:r>
      <w:r w:rsidR="006E457B" w:rsidRPr="00622DA5">
        <w:t>lärosäte</w:t>
      </w:r>
      <w:r w:rsidR="00E55750">
        <w:t xml:space="preserve"> fakturerar inklusive</w:t>
      </w:r>
      <w:r w:rsidRPr="00622DA5">
        <w:t xml:space="preserve"> sina indirekta kostnader för att få täckning för dessa.</w:t>
      </w:r>
    </w:p>
    <w:p w14:paraId="16024F1E" w14:textId="77777777" w:rsidR="00622DA5" w:rsidRPr="00622DA5" w:rsidRDefault="00622DA5" w:rsidP="00E55750">
      <w:pPr>
        <w:spacing w:after="0" w:line="240" w:lineRule="auto"/>
      </w:pPr>
    </w:p>
    <w:p w14:paraId="0D02A5EC" w14:textId="3E32CBD3" w:rsidR="004A39C8" w:rsidRPr="00622DA5" w:rsidRDefault="004A39C8" w:rsidP="00E55750">
      <w:pPr>
        <w:spacing w:after="0" w:line="240" w:lineRule="auto"/>
      </w:pPr>
      <w:r w:rsidRPr="00622DA5">
        <w:t>Under de tio år som SUHF-modellen har tillämpats är en av de mest vanliga frågorna den som gäller indirekta kostnader vid tjänsteköp mellan lärosäten</w:t>
      </w:r>
      <w:r w:rsidR="00822E9A" w:rsidRPr="00622DA5">
        <w:t xml:space="preserve"> och att det ibland uppstår dubbla indirekta kostnader för ett köpande lärosäte</w:t>
      </w:r>
      <w:r w:rsidRPr="00622DA5">
        <w:t xml:space="preserve">. </w:t>
      </w:r>
    </w:p>
    <w:p w14:paraId="3DC23325" w14:textId="77777777" w:rsidR="00622DA5" w:rsidRPr="00622DA5" w:rsidRDefault="00622DA5" w:rsidP="00E55750">
      <w:pPr>
        <w:spacing w:after="0" w:line="240" w:lineRule="auto"/>
      </w:pPr>
    </w:p>
    <w:p w14:paraId="4E684ED4" w14:textId="7EE7383C" w:rsidR="006E457B" w:rsidRPr="00622DA5" w:rsidRDefault="00FC268E" w:rsidP="00E55750">
      <w:pPr>
        <w:spacing w:after="0" w:line="240" w:lineRule="auto"/>
      </w:pPr>
      <w:r w:rsidRPr="00622DA5">
        <w:t>Frågeställningarna gäller de fall d</w:t>
      </w:r>
      <w:r w:rsidR="001A4B4F" w:rsidRPr="00622DA5">
        <w:t>å köpa</w:t>
      </w:r>
      <w:r w:rsidR="00DF168E" w:rsidRPr="00622DA5">
        <w:t>nde lärosäte</w:t>
      </w:r>
      <w:r w:rsidR="001A4B4F" w:rsidRPr="00622DA5">
        <w:t xml:space="preserve"> tillämpar den alternativa fördelnings</w:t>
      </w:r>
      <w:r w:rsidR="00E55750">
        <w:softHyphen/>
      </w:r>
      <w:r w:rsidR="001A4B4F" w:rsidRPr="00622DA5">
        <w:t>bas</w:t>
      </w:r>
      <w:r w:rsidRPr="00622DA5">
        <w:t>en</w:t>
      </w:r>
      <w:r w:rsidR="00E55750">
        <w:t>, det vill säga</w:t>
      </w:r>
      <w:r w:rsidR="001A4B4F" w:rsidRPr="00622DA5">
        <w:t xml:space="preserve"> direkta </w:t>
      </w:r>
      <w:r w:rsidR="00822E9A" w:rsidRPr="00622DA5">
        <w:t>personal</w:t>
      </w:r>
      <w:r w:rsidR="001A4B4F" w:rsidRPr="00622DA5">
        <w:t>- och driftskostnader</w:t>
      </w:r>
      <w:r w:rsidRPr="00622DA5">
        <w:t>. I dessa fall debiteras köparen</w:t>
      </w:r>
      <w:r w:rsidR="004A39C8" w:rsidRPr="00622DA5">
        <w:t xml:space="preserve"> för såväl direkta som indirekta kostnader hos sälja</w:t>
      </w:r>
      <w:r w:rsidR="00DF168E" w:rsidRPr="00622DA5">
        <w:t>nde lärosäte</w:t>
      </w:r>
      <w:r w:rsidR="004A39C8" w:rsidRPr="00622DA5">
        <w:t xml:space="preserve"> och därtill </w:t>
      </w:r>
      <w:r w:rsidRPr="00622DA5">
        <w:t>sker</w:t>
      </w:r>
      <w:r w:rsidR="001A4B4F" w:rsidRPr="00622DA5">
        <w:t xml:space="preserve"> en påläggs</w:t>
      </w:r>
      <w:r w:rsidR="00E55750">
        <w:softHyphen/>
      </w:r>
      <w:r w:rsidR="001A4B4F" w:rsidRPr="00622DA5">
        <w:t>debitering</w:t>
      </w:r>
      <w:r w:rsidR="00DF168E" w:rsidRPr="00622DA5">
        <w:t xml:space="preserve"> hos köpande lärosäte</w:t>
      </w:r>
      <w:r w:rsidR="001A4B4F" w:rsidRPr="00622DA5">
        <w:t xml:space="preserve"> på den driftskostnad som köpet utgör.</w:t>
      </w:r>
      <w:r w:rsidR="007C4B3D" w:rsidRPr="00622DA5">
        <w:t xml:space="preserve"> </w:t>
      </w:r>
    </w:p>
    <w:p w14:paraId="59BCD60C" w14:textId="77777777" w:rsidR="00622DA5" w:rsidRPr="00622DA5" w:rsidRDefault="00622DA5" w:rsidP="00E55750">
      <w:pPr>
        <w:spacing w:after="0" w:line="240" w:lineRule="auto"/>
      </w:pPr>
    </w:p>
    <w:p w14:paraId="205FC01A" w14:textId="77777777" w:rsidR="00622DA5" w:rsidRPr="00622DA5" w:rsidRDefault="00D75511" w:rsidP="00E55750">
      <w:pPr>
        <w:spacing w:after="0" w:line="240" w:lineRule="auto"/>
      </w:pPr>
      <w:r w:rsidRPr="00622DA5">
        <w:t xml:space="preserve">Frågan som återkommer och som ses som ett hinder för samverkan mellan lärosäten </w:t>
      </w:r>
      <w:r w:rsidR="007C4B3D" w:rsidRPr="00622DA5">
        <w:rPr>
          <w:i/>
        </w:rPr>
        <w:t>skulle kunna sägas vara att driftkostnader ingår i fördelningsbasen.</w:t>
      </w:r>
      <w:r w:rsidR="006E457B" w:rsidRPr="00622DA5">
        <w:rPr>
          <w:i/>
        </w:rPr>
        <w:t xml:space="preserve"> </w:t>
      </w:r>
      <w:r w:rsidRPr="00622DA5">
        <w:t>Flertalet lärosäten har endast lönekostnader som fördelningsbas varför problemet med dubbla indirekta kostnader inte uppkommer för dem.</w:t>
      </w:r>
    </w:p>
    <w:p w14:paraId="6583108D" w14:textId="6A6ADAFB" w:rsidR="00D75511" w:rsidRPr="00622DA5" w:rsidRDefault="00D75511" w:rsidP="00E55750">
      <w:pPr>
        <w:spacing w:after="0" w:line="240" w:lineRule="auto"/>
      </w:pPr>
      <w:r w:rsidRPr="00622DA5">
        <w:t xml:space="preserve"> </w:t>
      </w:r>
    </w:p>
    <w:p w14:paraId="641821BC" w14:textId="4E08F46C" w:rsidR="00971C63" w:rsidRPr="00E55750" w:rsidRDefault="00BE6935" w:rsidP="00E55750">
      <w:pPr>
        <w:spacing w:after="0" w:line="240" w:lineRule="auto"/>
        <w:rPr>
          <w:b/>
          <w:sz w:val="24"/>
          <w:szCs w:val="24"/>
        </w:rPr>
      </w:pPr>
      <w:r w:rsidRPr="00E55750">
        <w:rPr>
          <w:b/>
          <w:sz w:val="28"/>
          <w:szCs w:val="28"/>
        </w:rPr>
        <w:lastRenderedPageBreak/>
        <w:t>F</w:t>
      </w:r>
      <w:r w:rsidR="00971C63" w:rsidRPr="00E55750">
        <w:rPr>
          <w:b/>
          <w:sz w:val="28"/>
          <w:szCs w:val="28"/>
        </w:rPr>
        <w:t>ördelningsbaser enligt grundmodellen</w:t>
      </w:r>
      <w:r w:rsidR="00971C63" w:rsidRPr="00E55750">
        <w:rPr>
          <w:rStyle w:val="Fotnotsreferens"/>
          <w:b/>
          <w:sz w:val="24"/>
          <w:szCs w:val="24"/>
        </w:rPr>
        <w:footnoteReference w:id="1"/>
      </w:r>
    </w:p>
    <w:p w14:paraId="01E0076D" w14:textId="77777777" w:rsidR="00E55750" w:rsidRDefault="00E55750" w:rsidP="00E55750">
      <w:pPr>
        <w:spacing w:after="0" w:line="240" w:lineRule="auto"/>
      </w:pPr>
    </w:p>
    <w:p w14:paraId="11D37DA1" w14:textId="69A88AC1" w:rsidR="00FE4FF2" w:rsidRDefault="00FE4FF2" w:rsidP="00E55750">
      <w:pPr>
        <w:spacing w:after="0" w:line="240" w:lineRule="auto"/>
      </w:pPr>
      <w:r w:rsidRPr="00622DA5">
        <w:t>De gemensamma kostnaderna från olika nivåer inom ett lärosäte ska fördelas på kostnads</w:t>
      </w:r>
      <w:r w:rsidR="00E55750">
        <w:softHyphen/>
      </w:r>
      <w:r w:rsidRPr="00622DA5">
        <w:t xml:space="preserve">bärarna vid en institution. Vid denna slutliga fördelning på kostnadsbärare förutsätter modellen att fördelningen görs på en kostnadsbas och att alla </w:t>
      </w:r>
      <w:r w:rsidR="006E457B" w:rsidRPr="00622DA5">
        <w:t>lärosäten</w:t>
      </w:r>
      <w:r w:rsidRPr="00622DA5">
        <w:t xml:space="preserve"> </w:t>
      </w:r>
      <w:r w:rsidR="007C4B3D" w:rsidRPr="00622DA5">
        <w:t xml:space="preserve">bör </w:t>
      </w:r>
      <w:r w:rsidRPr="00622DA5">
        <w:t>använd</w:t>
      </w:r>
      <w:r w:rsidR="007C4B3D" w:rsidRPr="00622DA5">
        <w:t>a</w:t>
      </w:r>
      <w:r w:rsidRPr="00622DA5">
        <w:t xml:space="preserve"> samma fördelningsbas (underlag).</w:t>
      </w:r>
    </w:p>
    <w:p w14:paraId="78DE111A" w14:textId="77777777" w:rsidR="00E55750" w:rsidRPr="00622DA5" w:rsidRDefault="00E55750" w:rsidP="00E55750">
      <w:pPr>
        <w:spacing w:after="0" w:line="240" w:lineRule="auto"/>
      </w:pPr>
    </w:p>
    <w:p w14:paraId="0883C698" w14:textId="06894067" w:rsidR="007C4B3D" w:rsidRPr="00622DA5" w:rsidRDefault="00FE4FF2" w:rsidP="00E55750">
      <w:pPr>
        <w:spacing w:after="0" w:line="240" w:lineRule="auto"/>
      </w:pPr>
      <w:r w:rsidRPr="00622DA5">
        <w:t xml:space="preserve">Direkta lönekostnader är huvudalternativ som fördelningsbas i grundmodellen. Med direkt lön menas kostnadsbärarnas lönekostnader inklusive sociala avgifter. </w:t>
      </w:r>
    </w:p>
    <w:p w14:paraId="5A786BA9" w14:textId="77777777" w:rsidR="00622DA5" w:rsidRPr="00622DA5" w:rsidRDefault="00622DA5" w:rsidP="00E55750">
      <w:pPr>
        <w:spacing w:after="0" w:line="240" w:lineRule="auto"/>
      </w:pPr>
    </w:p>
    <w:p w14:paraId="273CF436" w14:textId="74A7115E" w:rsidR="00D75511" w:rsidRPr="00622DA5" w:rsidRDefault="006E457B" w:rsidP="00E55750">
      <w:pPr>
        <w:spacing w:after="0" w:line="240" w:lineRule="auto"/>
      </w:pPr>
      <w:r w:rsidRPr="00622DA5">
        <w:t>Lärosätena</w:t>
      </w:r>
      <w:r w:rsidR="007C4B3D" w:rsidRPr="00622DA5">
        <w:t xml:space="preserve">s verksamhet kan ofta beskrivas som löneintensiv och huvudalternativet med en fördelning baserad på löner är då tillämplig. Inom vissa områden finns det dock </w:t>
      </w:r>
      <w:r w:rsidR="00BE6935" w:rsidRPr="00622DA5">
        <w:t xml:space="preserve">även </w:t>
      </w:r>
      <w:r w:rsidR="007C4B3D" w:rsidRPr="00622DA5">
        <w:t>ett</w:t>
      </w:r>
      <w:r w:rsidR="00BE6935" w:rsidRPr="00622DA5">
        <w:t xml:space="preserve"> relativt</w:t>
      </w:r>
      <w:r w:rsidR="007C4B3D" w:rsidRPr="00622DA5">
        <w:t xml:space="preserve"> stort inslag av andra kostnader </w:t>
      </w:r>
      <w:r w:rsidR="00BE6935" w:rsidRPr="00622DA5">
        <w:t xml:space="preserve">för </w:t>
      </w:r>
      <w:r w:rsidR="00A70F71">
        <w:t xml:space="preserve">till </w:t>
      </w:r>
      <w:r w:rsidR="007C4B3D" w:rsidRPr="00622DA5">
        <w:t>ex</w:t>
      </w:r>
      <w:r w:rsidR="00A70F71">
        <w:t>empel</w:t>
      </w:r>
      <w:r w:rsidR="007C4B3D" w:rsidRPr="00622DA5">
        <w:t xml:space="preserve"> laborativ verksamhet. Om omfattningen av sådan verksamhet är ansenlig, kan istället direkta </w:t>
      </w:r>
      <w:r w:rsidR="004F1DAD" w:rsidRPr="00622DA5">
        <w:t>personal</w:t>
      </w:r>
      <w:r w:rsidR="007C4B3D" w:rsidRPr="00622DA5">
        <w:t xml:space="preserve">- och driftskostnader vara en mer rättvisande fördelningsbas för kostnadsbärarna. </w:t>
      </w:r>
      <w:r w:rsidR="00D75511" w:rsidRPr="00622DA5">
        <w:t xml:space="preserve">Modellen tillåter därför en viss flexibilitet för ett lärosäte när fördelningsbasen ska definieras och ett lärosäte kan välja den alternativa fördelningsbasen om särskilda skäl föreligger. </w:t>
      </w:r>
      <w:r w:rsidR="007C4B3D" w:rsidRPr="00622DA5">
        <w:t>Den alternativa fördelningsbasen betyder att både personal- och driftskostnader</w:t>
      </w:r>
      <w:r w:rsidR="00DC1DA3" w:rsidRPr="00622DA5">
        <w:rPr>
          <w:rStyle w:val="Fotnotsreferens"/>
        </w:rPr>
        <w:footnoteReference w:id="2"/>
      </w:r>
      <w:r w:rsidR="007C4B3D" w:rsidRPr="00622DA5">
        <w:t xml:space="preserve"> i kärnverksam</w:t>
      </w:r>
      <w:r w:rsidR="00622DA5" w:rsidRPr="00622DA5">
        <w:softHyphen/>
      </w:r>
      <w:r w:rsidR="007C4B3D" w:rsidRPr="00622DA5">
        <w:t>heten är underlag för fördelningen av gemensamma kostnader.</w:t>
      </w:r>
      <w:r w:rsidR="004F1DAD" w:rsidRPr="00622DA5">
        <w:t xml:space="preserve"> </w:t>
      </w:r>
    </w:p>
    <w:p w14:paraId="43BAE1BB" w14:textId="77777777" w:rsidR="00622DA5" w:rsidRPr="00622DA5" w:rsidRDefault="00622DA5" w:rsidP="00E55750">
      <w:pPr>
        <w:spacing w:after="0" w:line="240" w:lineRule="auto"/>
      </w:pPr>
    </w:p>
    <w:p w14:paraId="6A386146" w14:textId="1772EE61" w:rsidR="00D75511" w:rsidRPr="00E55750" w:rsidRDefault="00D44E79" w:rsidP="00E55750">
      <w:pPr>
        <w:spacing w:after="0" w:line="240" w:lineRule="auto"/>
        <w:rPr>
          <w:b/>
          <w:sz w:val="24"/>
          <w:szCs w:val="24"/>
        </w:rPr>
      </w:pPr>
      <w:r w:rsidRPr="00E55750">
        <w:rPr>
          <w:b/>
          <w:sz w:val="24"/>
          <w:szCs w:val="24"/>
        </w:rPr>
        <w:t>Nuläge</w:t>
      </w:r>
    </w:p>
    <w:p w14:paraId="7900A5AD" w14:textId="34A475C7" w:rsidR="00FC268E" w:rsidRPr="00622DA5" w:rsidRDefault="00FC268E" w:rsidP="00E55750">
      <w:pPr>
        <w:spacing w:after="0" w:line="240" w:lineRule="auto"/>
      </w:pPr>
      <w:r w:rsidRPr="00622DA5">
        <w:t>Köp mellan lärosäten hanteras i dagsläget olika även vad gäller fördelningsbas hos köpare som tillämpar den al</w:t>
      </w:r>
      <w:r w:rsidR="00A70F71">
        <w:t>ternativa fördelningsbasen, det vill säga</w:t>
      </w:r>
      <w:r w:rsidRPr="00622DA5">
        <w:t xml:space="preserve"> när driftkostnader ingår i fördelnings</w:t>
      </w:r>
      <w:r w:rsidR="00A70F71">
        <w:softHyphen/>
      </w:r>
      <w:r w:rsidRPr="00622DA5">
        <w:t>basen för indirekta kostnader. En översiktlig bild av lärosätenas hantering samt deras inställ</w:t>
      </w:r>
      <w:r w:rsidR="00A70F71">
        <w:softHyphen/>
      </w:r>
      <w:r w:rsidRPr="00622DA5">
        <w:t>ning till behovet av en rekommendation har framkommit i en enkät som Redovisningsrådet genom</w:t>
      </w:r>
      <w:r w:rsidR="00E55750">
        <w:softHyphen/>
      </w:r>
      <w:r w:rsidRPr="00622DA5">
        <w:t>förde i slutet av år 2019.</w:t>
      </w:r>
    </w:p>
    <w:p w14:paraId="301D145E" w14:textId="77777777" w:rsidR="00622DA5" w:rsidRPr="00622DA5" w:rsidRDefault="00622DA5" w:rsidP="00E55750">
      <w:pPr>
        <w:spacing w:after="0" w:line="240" w:lineRule="auto"/>
      </w:pPr>
    </w:p>
    <w:p w14:paraId="2D7CF164" w14:textId="6DBCC7E2" w:rsidR="00FC268E" w:rsidRDefault="00FC268E" w:rsidP="00E55750">
      <w:pPr>
        <w:spacing w:after="0" w:line="240" w:lineRule="auto"/>
      </w:pPr>
      <w:r w:rsidRPr="00622DA5">
        <w:t>I samband med diskussioner om att köp från annat lärosäte inte b</w:t>
      </w:r>
      <w:r w:rsidR="00D75511" w:rsidRPr="00622DA5">
        <w:t>ör</w:t>
      </w:r>
      <w:r w:rsidRPr="00622DA5">
        <w:t xml:space="preserve"> ingå i fördelningsbasen har man också lyft frågan om huruvida man även ska se samarbeten med andra statliga myndigheter på motsvarande sätt. Många betraktar dock handel mellan lärosäten på mot</w:t>
      </w:r>
      <w:r w:rsidR="00E55750">
        <w:softHyphen/>
      </w:r>
      <w:r w:rsidRPr="00622DA5">
        <w:t>svarande sätt som internhandel inom ett lärosäte. Argument för att just handel mellan lärosäten ska hanteras annorlunda är fördelar med att underlätta inbördes samarbeten för att bidra till effektiv resursanvändning i sektorn, högre kvalitet i verksamheterna samt breddad kompetens för forskare.</w:t>
      </w:r>
    </w:p>
    <w:p w14:paraId="45152BB4" w14:textId="77777777" w:rsidR="00E55750" w:rsidRPr="00622DA5" w:rsidRDefault="00E55750" w:rsidP="00E55750">
      <w:pPr>
        <w:spacing w:after="0" w:line="240" w:lineRule="auto"/>
      </w:pPr>
    </w:p>
    <w:p w14:paraId="1052A389" w14:textId="2EBA9776" w:rsidR="00CB4957" w:rsidRPr="00622DA5" w:rsidRDefault="00FC268E" w:rsidP="00E55750">
      <w:pPr>
        <w:spacing w:after="0" w:line="240" w:lineRule="auto"/>
      </w:pPr>
      <w:r w:rsidRPr="00622DA5">
        <w:t>Att ta bort möjligheten att tillämpa den alternativa fördelningsbasen kan anses utgöra en väsentlig påverkan på lärosätenas ekonomistyrning. Mot denna bakgrund föreslås möjligheten att välja mellan grundmodell och alternativ fördelningsbas kvarstår.</w:t>
      </w:r>
    </w:p>
    <w:p w14:paraId="1F8EF4C5" w14:textId="77777777" w:rsidR="00CB4957" w:rsidRPr="00622DA5" w:rsidRDefault="00CB4957" w:rsidP="00E55750">
      <w:pPr>
        <w:spacing w:after="0" w:line="240" w:lineRule="auto"/>
      </w:pPr>
    </w:p>
    <w:sectPr w:rsidR="00CB4957" w:rsidRPr="00622DA5" w:rsidSect="00E55750">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6424" w14:textId="77777777" w:rsidR="00425F4A" w:rsidRDefault="00425F4A" w:rsidP="00971C63">
      <w:pPr>
        <w:spacing w:after="0" w:line="240" w:lineRule="auto"/>
      </w:pPr>
      <w:r>
        <w:separator/>
      </w:r>
    </w:p>
  </w:endnote>
  <w:endnote w:type="continuationSeparator" w:id="0">
    <w:p w14:paraId="7904154C" w14:textId="77777777" w:rsidR="00425F4A" w:rsidRDefault="00425F4A" w:rsidP="0097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DC92" w14:textId="78AD6F5C" w:rsidR="00064982" w:rsidRPr="00E55750" w:rsidRDefault="00E55750">
    <w:pPr>
      <w:pStyle w:val="Sidfot"/>
    </w:pPr>
    <w:r>
      <w:tab/>
    </w:r>
    <w:r>
      <w:tab/>
    </w:r>
    <w:r w:rsidR="00064982" w:rsidRPr="00E55750">
      <w:rPr>
        <w:bCs/>
      </w:rPr>
      <w:fldChar w:fldCharType="begin"/>
    </w:r>
    <w:r w:rsidR="00064982" w:rsidRPr="00E55750">
      <w:rPr>
        <w:bCs/>
      </w:rPr>
      <w:instrText>PAGE  \* Arabic  \* MERGEFORMAT</w:instrText>
    </w:r>
    <w:r w:rsidR="00064982" w:rsidRPr="00E55750">
      <w:rPr>
        <w:bCs/>
      </w:rPr>
      <w:fldChar w:fldCharType="separate"/>
    </w:r>
    <w:r w:rsidR="00377008">
      <w:rPr>
        <w:bCs/>
        <w:noProof/>
      </w:rPr>
      <w:t>1</w:t>
    </w:r>
    <w:r w:rsidR="00064982" w:rsidRPr="00E55750">
      <w:rPr>
        <w:bCs/>
      </w:rPr>
      <w:fldChar w:fldCharType="end"/>
    </w:r>
    <w:r w:rsidR="00064982" w:rsidRPr="00E55750">
      <w:t xml:space="preserve"> </w:t>
    </w:r>
    <w:r w:rsidRPr="00E55750">
      <w:t>(</w:t>
    </w:r>
    <w:r w:rsidR="00064982" w:rsidRPr="00E55750">
      <w:rPr>
        <w:bCs/>
      </w:rPr>
      <w:fldChar w:fldCharType="begin"/>
    </w:r>
    <w:r w:rsidR="00064982" w:rsidRPr="00E55750">
      <w:rPr>
        <w:bCs/>
      </w:rPr>
      <w:instrText>NUMPAGES  \* Arabic  \* MERGEFORMAT</w:instrText>
    </w:r>
    <w:r w:rsidR="00064982" w:rsidRPr="00E55750">
      <w:rPr>
        <w:bCs/>
      </w:rPr>
      <w:fldChar w:fldCharType="separate"/>
    </w:r>
    <w:r w:rsidR="00377008">
      <w:rPr>
        <w:bCs/>
        <w:noProof/>
      </w:rPr>
      <w:t>2</w:t>
    </w:r>
    <w:r w:rsidR="00064982" w:rsidRPr="00E55750">
      <w:rPr>
        <w:bCs/>
      </w:rPr>
      <w:fldChar w:fldCharType="end"/>
    </w:r>
    <w:r w:rsidRPr="00E55750">
      <w:rPr>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834AC" w14:textId="77777777" w:rsidR="00425F4A" w:rsidRDefault="00425F4A" w:rsidP="00971C63">
      <w:pPr>
        <w:spacing w:after="0" w:line="240" w:lineRule="auto"/>
      </w:pPr>
      <w:r>
        <w:separator/>
      </w:r>
    </w:p>
  </w:footnote>
  <w:footnote w:type="continuationSeparator" w:id="0">
    <w:p w14:paraId="4627AB09" w14:textId="77777777" w:rsidR="00425F4A" w:rsidRDefault="00425F4A" w:rsidP="00971C63">
      <w:pPr>
        <w:spacing w:after="0" w:line="240" w:lineRule="auto"/>
      </w:pPr>
      <w:r>
        <w:continuationSeparator/>
      </w:r>
    </w:p>
  </w:footnote>
  <w:footnote w:id="1">
    <w:p w14:paraId="1D4BE711" w14:textId="388182FF" w:rsidR="00971C63" w:rsidRDefault="00971C63" w:rsidP="00971C63">
      <w:pPr>
        <w:pStyle w:val="Fotnotstext"/>
      </w:pPr>
      <w:r>
        <w:rPr>
          <w:rStyle w:val="Fotnotsreferens"/>
        </w:rPr>
        <w:footnoteRef/>
      </w:r>
      <w:r>
        <w:t xml:space="preserve"> SUHF-</w:t>
      </w:r>
      <w:r w:rsidR="00064982">
        <w:t>modellen</w:t>
      </w:r>
      <w:r>
        <w:t xml:space="preserve"> </w:t>
      </w:r>
      <w:r w:rsidR="00064982">
        <w:t>–</w:t>
      </w:r>
      <w:r>
        <w:t xml:space="preserve"> </w:t>
      </w:r>
      <w:r w:rsidR="00064982">
        <w:t>Redovisningsmodell för indirekta kostnader vid</w:t>
      </w:r>
      <w:r w:rsidR="00E55750">
        <w:t xml:space="preserve"> u</w:t>
      </w:r>
      <w:r w:rsidR="00064982">
        <w:t>niversitet och högskolor</w:t>
      </w:r>
      <w:r>
        <w:t xml:space="preserve">, </w:t>
      </w:r>
      <w:r w:rsidR="00064982">
        <w:t>handledning</w:t>
      </w:r>
      <w:r>
        <w:t xml:space="preserve"> 2012</w:t>
      </w:r>
      <w:r w:rsidR="00E55750">
        <w:t>.</w:t>
      </w:r>
    </w:p>
  </w:footnote>
  <w:footnote w:id="2">
    <w:p w14:paraId="6D97BEBF" w14:textId="54B7CDE7" w:rsidR="00DC1DA3" w:rsidRDefault="00DC1DA3">
      <w:pPr>
        <w:pStyle w:val="Fotnotstext"/>
      </w:pPr>
      <w:r>
        <w:rPr>
          <w:rStyle w:val="Fotnotsreferens"/>
        </w:rPr>
        <w:footnoteRef/>
      </w:r>
      <w:r>
        <w:t xml:space="preserve"> </w:t>
      </w:r>
      <w:r w:rsidR="00BE6935">
        <w:t>Det förekommer även varianter av den alternativa fördelningsbasen</w:t>
      </w:r>
      <w:r w:rsidR="00064982">
        <w:t>.</w:t>
      </w:r>
      <w:r w:rsidR="00BE693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7AB"/>
    <w:multiLevelType w:val="hybridMultilevel"/>
    <w:tmpl w:val="BF06CDA0"/>
    <w:lvl w:ilvl="0" w:tplc="F230D3E0">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1C3AA5"/>
    <w:multiLevelType w:val="hybridMultilevel"/>
    <w:tmpl w:val="1F4856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0543F0E"/>
    <w:multiLevelType w:val="hybridMultilevel"/>
    <w:tmpl w:val="A0CADE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5FF3A55"/>
    <w:multiLevelType w:val="hybridMultilevel"/>
    <w:tmpl w:val="2222E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255AC3"/>
    <w:multiLevelType w:val="hybridMultilevel"/>
    <w:tmpl w:val="07D2857E"/>
    <w:lvl w:ilvl="0" w:tplc="09321D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A05745"/>
    <w:multiLevelType w:val="hybridMultilevel"/>
    <w:tmpl w:val="629EE5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63"/>
    <w:rsid w:val="00017432"/>
    <w:rsid w:val="00064982"/>
    <w:rsid w:val="000D35DF"/>
    <w:rsid w:val="00117B7A"/>
    <w:rsid w:val="00193146"/>
    <w:rsid w:val="001A4B4F"/>
    <w:rsid w:val="0021430B"/>
    <w:rsid w:val="002A1511"/>
    <w:rsid w:val="002D058F"/>
    <w:rsid w:val="00377008"/>
    <w:rsid w:val="003864ED"/>
    <w:rsid w:val="003B0E2D"/>
    <w:rsid w:val="003E3038"/>
    <w:rsid w:val="00425F4A"/>
    <w:rsid w:val="00492C33"/>
    <w:rsid w:val="004A39C8"/>
    <w:rsid w:val="004F1DAD"/>
    <w:rsid w:val="004F484C"/>
    <w:rsid w:val="00545270"/>
    <w:rsid w:val="00613556"/>
    <w:rsid w:val="00614190"/>
    <w:rsid w:val="00622DA5"/>
    <w:rsid w:val="006A6818"/>
    <w:rsid w:val="006B5D42"/>
    <w:rsid w:val="006C75DC"/>
    <w:rsid w:val="006E457B"/>
    <w:rsid w:val="00712825"/>
    <w:rsid w:val="007C4B3D"/>
    <w:rsid w:val="007F3C60"/>
    <w:rsid w:val="00822E9A"/>
    <w:rsid w:val="00895132"/>
    <w:rsid w:val="0089667B"/>
    <w:rsid w:val="008D06ED"/>
    <w:rsid w:val="008D5820"/>
    <w:rsid w:val="00971C63"/>
    <w:rsid w:val="009A01E0"/>
    <w:rsid w:val="009A4485"/>
    <w:rsid w:val="009F7394"/>
    <w:rsid w:val="00A22B20"/>
    <w:rsid w:val="00A35DD4"/>
    <w:rsid w:val="00A65B81"/>
    <w:rsid w:val="00A70F71"/>
    <w:rsid w:val="00A72777"/>
    <w:rsid w:val="00A90C5C"/>
    <w:rsid w:val="00AB2280"/>
    <w:rsid w:val="00B36D26"/>
    <w:rsid w:val="00B55F99"/>
    <w:rsid w:val="00B74E5A"/>
    <w:rsid w:val="00BE5C0F"/>
    <w:rsid w:val="00BE6935"/>
    <w:rsid w:val="00CA60D9"/>
    <w:rsid w:val="00CB4957"/>
    <w:rsid w:val="00D44E79"/>
    <w:rsid w:val="00D75511"/>
    <w:rsid w:val="00DC1DA3"/>
    <w:rsid w:val="00DF168E"/>
    <w:rsid w:val="00E11878"/>
    <w:rsid w:val="00E55750"/>
    <w:rsid w:val="00E85F66"/>
    <w:rsid w:val="00F03146"/>
    <w:rsid w:val="00F04D54"/>
    <w:rsid w:val="00F17DEF"/>
    <w:rsid w:val="00F4414F"/>
    <w:rsid w:val="00FB0E4D"/>
    <w:rsid w:val="00FC268E"/>
    <w:rsid w:val="00FE4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DE3A"/>
  <w15:chartTrackingRefBased/>
  <w15:docId w15:val="{0DC4BA5B-D5BA-48EF-9AA0-C8C56EFD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C2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71C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71C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71C63"/>
    <w:rPr>
      <w:rFonts w:asciiTheme="majorHAnsi" w:eastAsiaTheme="majorEastAsia" w:hAnsiTheme="majorHAnsi" w:cstheme="majorBidi"/>
      <w:color w:val="2E74B5" w:themeColor="accent1" w:themeShade="BF"/>
      <w:sz w:val="26"/>
      <w:szCs w:val="26"/>
    </w:rPr>
  </w:style>
  <w:style w:type="paragraph" w:styleId="Fotnotstext">
    <w:name w:val="footnote text"/>
    <w:basedOn w:val="Normal"/>
    <w:link w:val="FotnotstextChar"/>
    <w:uiPriority w:val="99"/>
    <w:semiHidden/>
    <w:unhideWhenUsed/>
    <w:rsid w:val="00971C6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71C63"/>
    <w:rPr>
      <w:sz w:val="20"/>
      <w:szCs w:val="20"/>
    </w:rPr>
  </w:style>
  <w:style w:type="character" w:styleId="Fotnotsreferens">
    <w:name w:val="footnote reference"/>
    <w:basedOn w:val="Standardstycketeckensnitt"/>
    <w:uiPriority w:val="99"/>
    <w:semiHidden/>
    <w:unhideWhenUsed/>
    <w:rsid w:val="00971C63"/>
    <w:rPr>
      <w:vertAlign w:val="superscript"/>
    </w:rPr>
  </w:style>
  <w:style w:type="character" w:customStyle="1" w:styleId="Rubrik3Char">
    <w:name w:val="Rubrik 3 Char"/>
    <w:basedOn w:val="Standardstycketeckensnitt"/>
    <w:link w:val="Rubrik3"/>
    <w:uiPriority w:val="9"/>
    <w:rsid w:val="00971C63"/>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1A4B4F"/>
    <w:pPr>
      <w:ind w:left="720"/>
      <w:contextualSpacing/>
    </w:pPr>
  </w:style>
  <w:style w:type="paragraph" w:styleId="Ballongtext">
    <w:name w:val="Balloon Text"/>
    <w:basedOn w:val="Normal"/>
    <w:link w:val="BallongtextChar"/>
    <w:uiPriority w:val="99"/>
    <w:semiHidden/>
    <w:unhideWhenUsed/>
    <w:rsid w:val="0061419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14190"/>
    <w:rPr>
      <w:rFonts w:ascii="Segoe UI" w:hAnsi="Segoe UI" w:cs="Segoe UI"/>
      <w:sz w:val="18"/>
      <w:szCs w:val="18"/>
    </w:rPr>
  </w:style>
  <w:style w:type="character" w:customStyle="1" w:styleId="Rubrik1Char">
    <w:name w:val="Rubrik 1 Char"/>
    <w:basedOn w:val="Standardstycketeckensnitt"/>
    <w:link w:val="Rubrik1"/>
    <w:uiPriority w:val="9"/>
    <w:rsid w:val="00FC268E"/>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492C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C33"/>
  </w:style>
  <w:style w:type="paragraph" w:styleId="Sidfot">
    <w:name w:val="footer"/>
    <w:basedOn w:val="Normal"/>
    <w:link w:val="SidfotChar"/>
    <w:uiPriority w:val="99"/>
    <w:unhideWhenUsed/>
    <w:rsid w:val="00492C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C33"/>
  </w:style>
  <w:style w:type="paragraph" w:styleId="Slutkommentar">
    <w:name w:val="endnote text"/>
    <w:basedOn w:val="Normal"/>
    <w:link w:val="SlutkommentarChar"/>
    <w:uiPriority w:val="99"/>
    <w:semiHidden/>
    <w:unhideWhenUsed/>
    <w:rsid w:val="00FE4FF2"/>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E4FF2"/>
    <w:rPr>
      <w:sz w:val="20"/>
      <w:szCs w:val="20"/>
    </w:rPr>
  </w:style>
  <w:style w:type="character" w:styleId="Slutkommentarsreferens">
    <w:name w:val="endnote reference"/>
    <w:basedOn w:val="Standardstycketeckensnitt"/>
    <w:uiPriority w:val="99"/>
    <w:semiHidden/>
    <w:unhideWhenUsed/>
    <w:rsid w:val="00FE4FF2"/>
    <w:rPr>
      <w:vertAlign w:val="superscript"/>
    </w:rPr>
  </w:style>
  <w:style w:type="paragraph" w:customStyle="1" w:styleId="Default">
    <w:name w:val="Default"/>
    <w:rsid w:val="007C4B3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BEC4-C891-41F2-AAFC-322B54C9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723</Words>
  <Characters>3838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Törnborg</dc:creator>
  <cp:keywords/>
  <dc:description/>
  <cp:lastModifiedBy>Lars Alberius</cp:lastModifiedBy>
  <cp:revision>9</cp:revision>
  <cp:lastPrinted>2020-11-17T10:31:00Z</cp:lastPrinted>
  <dcterms:created xsi:type="dcterms:W3CDTF">2020-11-17T12:25:00Z</dcterms:created>
  <dcterms:modified xsi:type="dcterms:W3CDTF">2020-11-30T08:58:00Z</dcterms:modified>
</cp:coreProperties>
</file>